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-171449</wp:posOffset>
            </wp:positionH>
            <wp:positionV relativeFrom="paragraph">
              <wp:posOffset>0</wp:posOffset>
            </wp:positionV>
            <wp:extent cx="1647825" cy="1639570"/>
            <wp:effectExtent b="0" l="0" r="0" t="0"/>
            <wp:wrapSquare wrapText="bothSides" distB="0" distT="0" distL="114300" distR="114300"/>
            <wp:docPr id="3" name="image05.png"/>
            <a:graphic>
              <a:graphicData uri="http://schemas.openxmlformats.org/drawingml/2006/picture">
                <pic:pic>
                  <pic:nvPicPr>
                    <pic:cNvPr id="0" name="image05.png"/>
                    <pic:cNvPicPr preferRelativeResize="0"/>
                  </pic:nvPicPr>
                  <pic:blipFill>
                    <a:blip r:embed="rId5"/>
                    <a:srcRect b="0" l="0" r="0" t="0"/>
                    <a:stretch>
                      <a:fillRect/>
                    </a:stretch>
                  </pic:blipFill>
                  <pic:spPr>
                    <a:xfrm>
                      <a:off x="0" y="0"/>
                      <a:ext cx="1647825" cy="163957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AFC LEARNING RESOURCES COMMISSION </w:t>
        <w:br w:type="textWrapping"/>
        <w:t xml:space="preserve">2017 EXEMPLARY PRACTICE AWARDS</w:t>
      </w:r>
    </w:p>
    <w:p w:rsidR="00000000" w:rsidDel="00000000" w:rsidP="00000000" w:rsidRDefault="00000000" w:rsidRPr="00000000">
      <w:pPr>
        <w:keepNext w:val="0"/>
        <w:keepLines w:val="0"/>
        <w:widowControl w:val="0"/>
        <w:numPr>
          <w:ilvl w:val="0"/>
          <w:numId w:val="1"/>
        </w:numPr>
        <w:spacing w:after="0" w:before="0" w:line="276" w:lineRule="auto"/>
        <w:ind w:left="720" w:right="0" w:hanging="360"/>
        <w:contextualSpacing w:val="1"/>
        <w:jc w:val="center"/>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Library Services</w:t>
      </w:r>
    </w:p>
    <w:p w:rsidR="00000000" w:rsidDel="00000000" w:rsidP="00000000" w:rsidRDefault="00000000" w:rsidRPr="00000000">
      <w:pPr>
        <w:keepNext w:val="0"/>
        <w:keepLines w:val="0"/>
        <w:widowControl w:val="0"/>
        <w:numPr>
          <w:ilvl w:val="0"/>
          <w:numId w:val="1"/>
        </w:numPr>
        <w:spacing w:after="200" w:before="0" w:line="276" w:lineRule="auto"/>
        <w:ind w:left="720" w:right="0" w:hanging="360"/>
        <w:contextualSpacing w:val="1"/>
        <w:jc w:val="center"/>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Learning Support Services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The AFC Learning Resources Commission is pleased to sponsor the two Annual Learning Resources Commission Exemplary Practice Awards: 1) Library Services</w:t>
      </w:r>
      <w:r w:rsidDel="00000000" w:rsidR="00000000" w:rsidRPr="00000000">
        <w:rPr>
          <w:rFonts w:ascii="Times New Roman" w:cs="Times New Roman" w:eastAsia="Times New Roman" w:hAnsi="Times New Roman"/>
          <w:sz w:val="24"/>
          <w:szCs w:val="24"/>
          <w:rtl w:val="0"/>
        </w:rPr>
        <w:t xml:space="preserve"> Award </w:t>
      </w:r>
      <w:r w:rsidDel="00000000" w:rsidR="00000000" w:rsidRPr="00000000">
        <w:rPr>
          <w:rFonts w:ascii="Times New Roman" w:cs="Times New Roman" w:eastAsia="Times New Roman" w:hAnsi="Times New Roman"/>
          <w:color w:val="000000"/>
          <w:sz w:val="24"/>
          <w:szCs w:val="24"/>
          <w:rtl w:val="0"/>
        </w:rPr>
        <w:t xml:space="preserve">for MLS librarians, and 2) Learning Support Services A</w:t>
      </w:r>
      <w:r w:rsidDel="00000000" w:rsidR="00000000" w:rsidRPr="00000000">
        <w:rPr>
          <w:rFonts w:ascii="Times New Roman" w:cs="Times New Roman" w:eastAsia="Times New Roman" w:hAnsi="Times New Roman"/>
          <w:sz w:val="24"/>
          <w:szCs w:val="24"/>
          <w:rtl w:val="0"/>
        </w:rPr>
        <w:t xml:space="preserve">ward</w:t>
      </w:r>
      <w:r w:rsidDel="00000000" w:rsidR="00000000" w:rsidRPr="00000000">
        <w:rPr>
          <w:rFonts w:ascii="Times New Roman" w:cs="Times New Roman" w:eastAsia="Times New Roman" w:hAnsi="Times New Roman"/>
          <w:color w:val="000000"/>
          <w:sz w:val="24"/>
          <w:szCs w:val="24"/>
          <w:rtl w:val="0"/>
        </w:rPr>
        <w:t xml:space="preserve"> for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earning </w:t>
      </w:r>
      <w:r w:rsidDel="00000000" w:rsidR="00000000" w:rsidRPr="00000000">
        <w:rPr>
          <w:rFonts w:ascii="Times New Roman" w:cs="Times New Roman" w:eastAsia="Times New Roman" w:hAnsi="Times New Roman"/>
          <w:sz w:val="24"/>
          <w:szCs w:val="24"/>
          <w:rtl w:val="0"/>
        </w:rPr>
        <w:t xml:space="preserve">resource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enters,tu</w:t>
      </w:r>
      <w:r w:rsidDel="00000000" w:rsidR="00000000" w:rsidRPr="00000000">
        <w:rPr>
          <w:rFonts w:ascii="Times New Roman" w:cs="Times New Roman" w:eastAsia="Times New Roman" w:hAnsi="Times New Roman"/>
          <w:sz w:val="24"/>
          <w:szCs w:val="24"/>
          <w:rtl w:val="0"/>
        </w:rPr>
        <w:t xml:space="preserve">toring or lab centers,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ademic support, or library </w:t>
      </w:r>
      <w:r w:rsidDel="00000000" w:rsidR="00000000" w:rsidRPr="00000000">
        <w:rPr>
          <w:rFonts w:ascii="Times New Roman" w:cs="Times New Roman" w:eastAsia="Times New Roman" w:hAnsi="Times New Roman"/>
          <w:color w:val="000000"/>
          <w:sz w:val="24"/>
          <w:szCs w:val="24"/>
          <w:rtl w:val="0"/>
        </w:rPr>
        <w:t xml:space="preserve">support staff. The commission recognizes outstanding programs and professionals in the learning resources field and invites each Florida College to showcase its best programs.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We love to hear about</w:t>
      </w:r>
      <w:r w:rsidDel="00000000" w:rsidR="00000000" w:rsidRPr="00000000">
        <w:rPr>
          <w:rFonts w:ascii="Times New Roman" w:cs="Times New Roman" w:eastAsia="Times New Roman" w:hAnsi="Times New Roman"/>
          <w:color w:val="000000"/>
          <w:sz w:val="24"/>
          <w:szCs w:val="24"/>
          <w:rtl w:val="0"/>
        </w:rPr>
        <w:t xml:space="preserve"> new and innovative programs or a program that illustrates an exceptional practice in either library services (for MLS librarians) or learning support services (for support staff members)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color w:val="000000"/>
          <w:sz w:val="24"/>
          <w:szCs w:val="24"/>
          <w:rtl w:val="0"/>
        </w:rPr>
        <w:t xml:space="preserve">e encourage you to nominate one </w:t>
      </w:r>
      <w:r w:rsidDel="00000000" w:rsidR="00000000" w:rsidRPr="00000000">
        <w:rPr>
          <w:rFonts w:ascii="Times New Roman" w:cs="Times New Roman" w:eastAsia="Times New Roman" w:hAnsi="Times New Roman"/>
          <w:sz w:val="24"/>
          <w:szCs w:val="24"/>
          <w:rtl w:val="0"/>
        </w:rPr>
        <w:t xml:space="preserve">program</w:t>
      </w:r>
      <w:r w:rsidDel="00000000" w:rsidR="00000000" w:rsidRPr="00000000">
        <w:rPr>
          <w:rFonts w:ascii="Times New Roman" w:cs="Times New Roman" w:eastAsia="Times New Roman" w:hAnsi="Times New Roman"/>
          <w:color w:val="000000"/>
          <w:sz w:val="24"/>
          <w:szCs w:val="24"/>
          <w:rtl w:val="0"/>
        </w:rPr>
        <w:t xml:space="preserve"> per campus in either or both </w:t>
      </w:r>
      <w:r w:rsidDel="00000000" w:rsidR="00000000" w:rsidRPr="00000000">
        <w:rPr>
          <w:rFonts w:ascii="Times New Roman" w:cs="Times New Roman" w:eastAsia="Times New Roman" w:hAnsi="Times New Roman"/>
          <w:sz w:val="24"/>
          <w:szCs w:val="24"/>
          <w:rtl w:val="0"/>
        </w:rPr>
        <w:t xml:space="preserve">categories</w:t>
      </w:r>
      <w:r w:rsidDel="00000000" w:rsidR="00000000" w:rsidRPr="00000000">
        <w:rPr>
          <w:rFonts w:ascii="Times New Roman" w:cs="Times New Roman" w:eastAsia="Times New Roman" w:hAnsi="Times New Roman"/>
          <w:color w:val="000000"/>
          <w:sz w:val="24"/>
          <w:szCs w:val="24"/>
          <w:rtl w:val="0"/>
        </w:rPr>
        <w:t xml:space="preserve">. The program </w:t>
      </w:r>
      <w:r w:rsidDel="00000000" w:rsidR="00000000" w:rsidRPr="00000000">
        <w:rPr>
          <w:rFonts w:ascii="Times New Roman" w:cs="Times New Roman" w:eastAsia="Times New Roman" w:hAnsi="Times New Roman"/>
          <w:b w:val="1"/>
          <w:color w:val="000000"/>
          <w:sz w:val="24"/>
          <w:szCs w:val="24"/>
          <w:rtl w:val="0"/>
        </w:rPr>
        <w:t xml:space="preserve">must </w:t>
      </w:r>
      <w:r w:rsidDel="00000000" w:rsidR="00000000" w:rsidRPr="00000000">
        <w:rPr>
          <w:rFonts w:ascii="Times New Roman" w:cs="Times New Roman" w:eastAsia="Times New Roman" w:hAnsi="Times New Roman"/>
          <w:color w:val="000000"/>
          <w:sz w:val="24"/>
          <w:szCs w:val="24"/>
          <w:rtl w:val="0"/>
        </w:rPr>
        <w:t xml:space="preserve">have been in existence for the 201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-201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academic year (July 201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-June 201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The nomination should include an abstract of the program and any supporting documentation. The nominee must also be a member of AFC by the application deadline to apply. </w:t>
      </w:r>
      <w:r w:rsidDel="00000000" w:rsidR="00000000" w:rsidRPr="00000000">
        <w:rPr>
          <w:rFonts w:ascii="Times New Roman" w:cs="Times New Roman" w:eastAsia="Times New Roman" w:hAnsi="Times New Roman"/>
          <w:color w:val="000000"/>
          <w:sz w:val="24"/>
          <w:szCs w:val="24"/>
          <w:u w:val="single"/>
          <w:rtl w:val="0"/>
        </w:rPr>
        <w:t xml:space="preserve">The winner will be </w:t>
      </w:r>
      <w:r w:rsidDel="00000000" w:rsidR="00000000" w:rsidRPr="00000000">
        <w:rPr>
          <w:rFonts w:ascii="Times New Roman" w:cs="Times New Roman" w:eastAsia="Times New Roman" w:hAnsi="Times New Roman"/>
          <w:sz w:val="24"/>
          <w:szCs w:val="24"/>
          <w:u w:val="single"/>
          <w:rtl w:val="0"/>
        </w:rPr>
        <w:t xml:space="preserve">invited</w:t>
      </w:r>
      <w:r w:rsidDel="00000000" w:rsidR="00000000" w:rsidRPr="00000000">
        <w:rPr>
          <w:rFonts w:ascii="Times New Roman" w:cs="Times New Roman" w:eastAsia="Times New Roman" w:hAnsi="Times New Roman"/>
          <w:color w:val="000000"/>
          <w:sz w:val="24"/>
          <w:szCs w:val="24"/>
          <w:u w:val="single"/>
          <w:rtl w:val="0"/>
        </w:rPr>
        <w:t xml:space="preserve"> to present </w:t>
      </w:r>
      <w:r w:rsidDel="00000000" w:rsidR="00000000" w:rsidRPr="00000000">
        <w:rPr>
          <w:rFonts w:ascii="Times New Roman" w:cs="Times New Roman" w:eastAsia="Times New Roman" w:hAnsi="Times New Roman"/>
          <w:sz w:val="24"/>
          <w:szCs w:val="24"/>
          <w:u w:val="single"/>
          <w:rtl w:val="0"/>
        </w:rPr>
        <w:t xml:space="preserve">their</w:t>
      </w:r>
      <w:r w:rsidDel="00000000" w:rsidR="00000000" w:rsidRPr="00000000">
        <w:rPr>
          <w:rFonts w:ascii="Times New Roman" w:cs="Times New Roman" w:eastAsia="Times New Roman" w:hAnsi="Times New Roman"/>
          <w:color w:val="000000"/>
          <w:sz w:val="24"/>
          <w:szCs w:val="24"/>
          <w:u w:val="single"/>
          <w:rtl w:val="0"/>
        </w:rPr>
        <w:t xml:space="preserve"> entry at the AFC Fall Conference </w:t>
      </w:r>
      <w:r w:rsidDel="00000000" w:rsidR="00000000" w:rsidRPr="00000000">
        <w:rPr>
          <w:rFonts w:ascii="Times New Roman" w:cs="Times New Roman" w:eastAsia="Times New Roman" w:hAnsi="Times New Roman"/>
          <w:sz w:val="24"/>
          <w:szCs w:val="24"/>
          <w:u w:val="single"/>
          <w:rtl w:val="0"/>
        </w:rPr>
        <w:t xml:space="preserve">November 1-3, 2017  in Palm Harbor, FL</w:t>
      </w:r>
      <w:r w:rsidDel="00000000" w:rsidR="00000000" w:rsidRPr="00000000">
        <w:rPr>
          <w:rFonts w:ascii="Times New Roman" w:cs="Times New Roman" w:eastAsia="Times New Roman" w:hAnsi="Times New Roman"/>
          <w:color w:val="000000"/>
          <w:sz w:val="24"/>
          <w:szCs w:val="24"/>
          <w:u w:val="single"/>
          <w:rtl w:val="0"/>
        </w:rPr>
        <w:t xml:space="preserve">,</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color w:val="000000"/>
          <w:sz w:val="24"/>
          <w:szCs w:val="24"/>
          <w:u w:val="single"/>
          <w:rtl w:val="0"/>
        </w:rPr>
        <w:t xml:space="preserve">the winner will receive  up to $500.00.</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In addition to the possibility to present your project at the fall conference, the Learning Resources Commission </w:t>
      </w:r>
      <w:r w:rsidDel="00000000" w:rsidR="00000000" w:rsidRPr="00000000">
        <w:rPr>
          <w:rFonts w:ascii="Times New Roman" w:cs="Times New Roman" w:eastAsia="Times New Roman" w:hAnsi="Times New Roman"/>
          <w:sz w:val="24"/>
          <w:szCs w:val="24"/>
          <w:rtl w:val="0"/>
        </w:rPr>
        <w:t xml:space="preserve">seeks </w:t>
      </w:r>
      <w:r w:rsidDel="00000000" w:rsidR="00000000" w:rsidRPr="00000000">
        <w:rPr>
          <w:rFonts w:ascii="Times New Roman" w:cs="Times New Roman" w:eastAsia="Times New Roman" w:hAnsi="Times New Roman"/>
          <w:color w:val="000000"/>
          <w:sz w:val="24"/>
          <w:szCs w:val="24"/>
          <w:rtl w:val="0"/>
        </w:rPr>
        <w:t xml:space="preserve">projects to spotlight at the virtual conference on March 28th</w:t>
      </w:r>
      <w:r w:rsidDel="00000000" w:rsidR="00000000" w:rsidRPr="00000000">
        <w:rPr>
          <w:rFonts w:ascii="Times New Roman" w:cs="Times New Roman" w:eastAsia="Times New Roman" w:hAnsi="Times New Roman"/>
          <w:sz w:val="24"/>
          <w:szCs w:val="24"/>
          <w:rtl w:val="0"/>
        </w:rPr>
        <w:t xml:space="preserve">, 2017</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The nomination form and the judging criteria are included. A copy of this information is also available at </w:t>
      </w:r>
      <w:hyperlink r:id="rId6">
        <w:r w:rsidDel="00000000" w:rsidR="00000000" w:rsidRPr="00000000">
          <w:rPr>
            <w:rFonts w:ascii="Times New Roman" w:cs="Times New Roman" w:eastAsia="Times New Roman" w:hAnsi="Times New Roman"/>
            <w:color w:val="0000ff"/>
            <w:sz w:val="24"/>
            <w:szCs w:val="24"/>
            <w:u w:val="single"/>
            <w:rtl w:val="0"/>
          </w:rPr>
          <w:t xml:space="preserve">http://www.myafchome.org</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rtl w:val="0"/>
        </w:rPr>
        <w:t xml:space="preserve">Please share this with all of your learning resources team members!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Please send your nominations </w:t>
      </w:r>
      <w:r w:rsidDel="00000000" w:rsidR="00000000" w:rsidRPr="00000000">
        <w:rPr>
          <w:rFonts w:ascii="Times New Roman" w:cs="Times New Roman" w:eastAsia="Times New Roman" w:hAnsi="Times New Roman"/>
          <w:b w:val="1"/>
          <w:color w:val="000000"/>
          <w:sz w:val="24"/>
          <w:szCs w:val="24"/>
          <w:u w:val="single"/>
          <w:rtl w:val="0"/>
        </w:rPr>
        <w:t xml:space="preserve">electronically</w:t>
      </w:r>
      <w:r w:rsidDel="00000000" w:rsidR="00000000" w:rsidRPr="00000000">
        <w:rPr>
          <w:rFonts w:ascii="Times New Roman" w:cs="Times New Roman" w:eastAsia="Times New Roman" w:hAnsi="Times New Roman"/>
          <w:color w:val="000000"/>
          <w:sz w:val="24"/>
          <w:szCs w:val="24"/>
          <w:rtl w:val="0"/>
        </w:rPr>
        <w:t xml:space="preserve"> no later than </w:t>
      </w:r>
      <w:r w:rsidDel="00000000" w:rsidR="00000000" w:rsidRPr="00000000">
        <w:rPr>
          <w:rFonts w:ascii="Times New Roman" w:cs="Times New Roman" w:eastAsia="Times New Roman" w:hAnsi="Times New Roman"/>
          <w:b w:val="1"/>
          <w:color w:val="ff0000"/>
          <w:sz w:val="24"/>
          <w:szCs w:val="24"/>
          <w:u w:val="single"/>
          <w:rtl w:val="0"/>
        </w:rPr>
        <w:t xml:space="preserve">March 31, 2017.</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Please call me with your questions at </w:t>
      </w:r>
      <w:r w:rsidDel="00000000" w:rsidR="00000000" w:rsidRPr="00000000">
        <w:rPr>
          <w:rFonts w:ascii="Times New Roman" w:cs="Times New Roman" w:eastAsia="Times New Roman" w:hAnsi="Times New Roman"/>
          <w:sz w:val="24"/>
          <w:szCs w:val="24"/>
          <w:rtl w:val="0"/>
        </w:rPr>
        <w:t xml:space="preserve">772-336-6268 or email me at </w:t>
      </w:r>
      <w:r w:rsidDel="00000000" w:rsidR="00000000" w:rsidRPr="00000000">
        <w:rPr>
          <w:rFonts w:ascii="Times New Roman" w:cs="Times New Roman" w:eastAsia="Times New Roman" w:hAnsi="Times New Roman"/>
          <w:color w:val="1155cc"/>
          <w:sz w:val="24"/>
          <w:szCs w:val="24"/>
          <w:u w:val="single"/>
          <w:rtl w:val="0"/>
        </w:rPr>
        <w:t xml:space="preserve">kauberry@irsc.edu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I look forward to receiving your nominations.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Sincerely,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Kendra Auberry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Chair, Learning Resources Commission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 LEARNING RESOURCES COMMISSION </w:t>
        <w:br w:type="textWrapping"/>
        <w:t xml:space="preserve">2017 EXEMPLARY PRACTICE AWARDS</w:t>
      </w:r>
      <w:r w:rsidDel="00000000" w:rsidR="00000000" w:rsidRPr="00000000">
        <w:drawing>
          <wp:anchor allowOverlap="1" behindDoc="0" distB="0" distT="0" distL="114300" distR="114300" hidden="0" layoutInCell="0" locked="0" relativeHeight="0" simplePos="0">
            <wp:simplePos x="0" y="0"/>
            <wp:positionH relativeFrom="margin">
              <wp:posOffset>-314324</wp:posOffset>
            </wp:positionH>
            <wp:positionV relativeFrom="paragraph">
              <wp:posOffset>-133349</wp:posOffset>
            </wp:positionV>
            <wp:extent cx="1645920" cy="1633855"/>
            <wp:effectExtent b="0" l="0" r="0" t="0"/>
            <wp:wrapSquare wrapText="bothSides" distB="0" distT="0" distL="114300" distR="114300"/>
            <wp:docPr id="2" name="image04.png"/>
            <a:graphic>
              <a:graphicData uri="http://schemas.openxmlformats.org/drawingml/2006/picture">
                <pic:pic>
                  <pic:nvPicPr>
                    <pic:cNvPr id="0" name="image04.png"/>
                    <pic:cNvPicPr preferRelativeResize="0"/>
                  </pic:nvPicPr>
                  <pic:blipFill>
                    <a:blip r:embed="rId7"/>
                    <a:srcRect b="0" l="0" r="0" t="0"/>
                    <a:stretch>
                      <a:fillRect/>
                    </a:stretch>
                  </pic:blipFill>
                  <pic:spPr>
                    <a:xfrm>
                      <a:off x="0" y="0"/>
                      <a:ext cx="1645920" cy="1633855"/>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Nomination Form</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i w:val="1"/>
          <w:rtl w:val="0"/>
        </w:rPr>
        <w:t xml:space="preserve">Complete and submit this form with your nomination.</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i w:val="1"/>
          <w:rtl w:val="0"/>
        </w:rPr>
        <w:t xml:space="preserve">Nominations must be submitted electronically to the Learning Resources Commission Chair by March 31, 2017.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Date:_________________________________________________________________________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Check one category: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t xml:space="preserve">___Library/Learning Resources Center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t xml:space="preserve">___Learning Support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Title of Nominee's Program:_____________________________________________________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Nominee’s Name:______________________________________________________________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Nominee's College:_______________________________Campus:______________________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Nominee’s E-Mail:_____________________________________________________________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Are you able to present at the Virtual Conference on April 21st? _____________________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Are you able to present at annual conference on November 1-3?  ______________________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4"/>
          <w:szCs w:val="24"/>
          <w:rtl w:val="0"/>
        </w:rPr>
        <w:t xml:space="preserve">Reason for nomination</w:t>
      </w:r>
      <w:r w:rsidDel="00000000" w:rsidR="00000000" w:rsidRPr="00000000">
        <w:rPr>
          <w:rFonts w:ascii="Times New Roman" w:cs="Times New Roman" w:eastAsia="Times New Roman" w:hAnsi="Times New Roman"/>
          <w:color w:val="000000"/>
          <w:sz w:val="24"/>
          <w:szCs w:val="24"/>
          <w:rtl w:val="0"/>
        </w:rPr>
        <w:t xml:space="preserve">: Attach a brief summary (not to exceed 1,000 words) about the program, including information that supports the criteria listed on the judging criteria page. Include any supporting documentation.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ff0000"/>
          <w:sz w:val="24"/>
          <w:szCs w:val="24"/>
          <w:rtl w:val="0"/>
        </w:rPr>
        <w:t xml:space="preserve">Deadline Date</w:t>
      </w:r>
      <w:r w:rsidDel="00000000" w:rsidR="00000000" w:rsidRPr="00000000">
        <w:rPr>
          <w:rFonts w:ascii="Times New Roman" w:cs="Times New Roman" w:eastAsia="Times New Roman" w:hAnsi="Times New Roman"/>
          <w:color w:val="ff0000"/>
          <w:sz w:val="24"/>
          <w:szCs w:val="24"/>
          <w:rtl w:val="0"/>
        </w:rPr>
        <w:t xml:space="preserve">: March 31, 2017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Submit nomination form, brief summary and supporting documentation </w:t>
      </w:r>
      <w:r w:rsidDel="00000000" w:rsidR="00000000" w:rsidRPr="00000000">
        <w:rPr>
          <w:rFonts w:ascii="Times New Roman" w:cs="Times New Roman" w:eastAsia="Times New Roman" w:hAnsi="Times New Roman"/>
          <w:b w:val="1"/>
          <w:color w:val="000000"/>
          <w:sz w:val="24"/>
          <w:szCs w:val="24"/>
          <w:u w:val="single"/>
          <w:rtl w:val="0"/>
        </w:rPr>
        <w:t xml:space="preserve">electronically</w:t>
      </w:r>
      <w:r w:rsidDel="00000000" w:rsidR="00000000" w:rsidRPr="00000000">
        <w:rPr>
          <w:rFonts w:ascii="Times New Roman" w:cs="Times New Roman" w:eastAsia="Times New Roman" w:hAnsi="Times New Roman"/>
          <w:color w:val="000000"/>
          <w:sz w:val="24"/>
          <w:szCs w:val="24"/>
          <w:rtl w:val="0"/>
        </w:rPr>
        <w:t xml:space="preserve"> to Commission Chair Kendra Auberry at </w:t>
      </w:r>
      <w:hyperlink r:id="rId8">
        <w:r w:rsidDel="00000000" w:rsidR="00000000" w:rsidRPr="00000000">
          <w:rPr>
            <w:rFonts w:ascii="Times New Roman" w:cs="Times New Roman" w:eastAsia="Times New Roman" w:hAnsi="Times New Roman"/>
            <w:color w:val="0000ff"/>
            <w:sz w:val="24"/>
            <w:szCs w:val="24"/>
            <w:u w:val="single"/>
            <w:rtl w:val="0"/>
          </w:rPr>
          <w:t xml:space="preserve">kauberry@irsc.edu</w:t>
        </w:r>
      </w:hyperlink>
      <w:r w:rsidDel="00000000" w:rsidR="00000000" w:rsidRPr="00000000">
        <w:rPr>
          <w:rFonts w:ascii="Times New Roman" w:cs="Times New Roman" w:eastAsia="Times New Roman" w:hAnsi="Times New Roman"/>
          <w:color w:val="000000"/>
          <w:sz w:val="24"/>
          <w:szCs w:val="24"/>
          <w:rtl w:val="0"/>
        </w:rPr>
        <w:t xml:space="preserve">. You will receive a confirmation email once your application has been received.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ind w:left="2880" w:firstLine="720"/>
        <w:contextualSpacing w:val="0"/>
        <w:jc w:val="center"/>
      </w:pPr>
      <w:r w:rsidDel="00000000" w:rsidR="00000000" w:rsidRPr="00000000">
        <w:rPr>
          <w:rFonts w:ascii="Arial" w:cs="Arial" w:eastAsia="Arial" w:hAnsi="Arial"/>
          <w:b w:val="1"/>
          <w:color w:val="000000"/>
          <w:sz w:val="28"/>
          <w:szCs w:val="28"/>
          <w:rtl w:val="0"/>
        </w:rPr>
        <w:t xml:space="preserve">Association of Florida Colleges</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-390524</wp:posOffset>
            </wp:positionH>
            <wp:positionV relativeFrom="paragraph">
              <wp:posOffset>0</wp:posOffset>
            </wp:positionV>
            <wp:extent cx="1543050" cy="1733550"/>
            <wp:effectExtent b="0" l="0" r="0" t="0"/>
            <wp:wrapSquare wrapText="bothSides" distB="0" distT="0" distL="114300" distR="114300"/>
            <wp:docPr descr="New-AFC-VECTORLogoW-Keys-2-14-11" id="1" name="image02.jpg"/>
            <a:graphic>
              <a:graphicData uri="http://schemas.openxmlformats.org/drawingml/2006/picture">
                <pic:pic>
                  <pic:nvPicPr>
                    <pic:cNvPr descr="New-AFC-VECTORLogoW-Keys-2-14-11" id="0" name="image02.jpg"/>
                    <pic:cNvPicPr preferRelativeResize="0"/>
                  </pic:nvPicPr>
                  <pic:blipFill>
                    <a:blip r:embed="rId9"/>
                    <a:srcRect b="0" l="0" r="0" t="0"/>
                    <a:stretch>
                      <a:fillRect/>
                    </a:stretch>
                  </pic:blipFill>
                  <pic:spPr>
                    <a:xfrm>
                      <a:off x="0" y="0"/>
                      <a:ext cx="1543050" cy="1733550"/>
                    </a:xfrm>
                    <a:prstGeom prst="rect"/>
                    <a:ln/>
                  </pic:spPr>
                </pic:pic>
              </a:graphicData>
            </a:graphic>
          </wp:anchor>
        </w:drawing>
      </w:r>
    </w:p>
    <w:p w:rsidR="00000000" w:rsidDel="00000000" w:rsidP="00000000" w:rsidRDefault="00000000" w:rsidRPr="00000000">
      <w:pPr>
        <w:spacing w:after="0" w:before="0" w:line="360" w:lineRule="auto"/>
        <w:ind w:left="2880" w:firstLine="720"/>
        <w:contextualSpacing w:val="0"/>
        <w:jc w:val="center"/>
      </w:pPr>
      <w:r w:rsidDel="00000000" w:rsidR="00000000" w:rsidRPr="00000000">
        <w:rPr>
          <w:rFonts w:ascii="Arial" w:cs="Arial" w:eastAsia="Arial" w:hAnsi="Arial"/>
          <w:b w:val="1"/>
          <w:color w:val="000000"/>
          <w:sz w:val="28"/>
          <w:szCs w:val="28"/>
          <w:rtl w:val="0"/>
        </w:rPr>
        <w:t xml:space="preserve">Learning Resources Commission</w:t>
      </w:r>
    </w:p>
    <w:p w:rsidR="00000000" w:rsidDel="00000000" w:rsidP="00000000" w:rsidRDefault="00000000" w:rsidRPr="00000000">
      <w:pPr>
        <w:spacing w:after="0" w:before="0" w:line="360" w:lineRule="auto"/>
        <w:ind w:left="2880" w:firstLine="720"/>
        <w:contextualSpacing w:val="0"/>
        <w:jc w:val="center"/>
      </w:pPr>
      <w:r w:rsidDel="00000000" w:rsidR="00000000" w:rsidRPr="00000000">
        <w:rPr>
          <w:rFonts w:ascii="Arial" w:cs="Arial" w:eastAsia="Arial" w:hAnsi="Arial"/>
          <w:b w:val="1"/>
          <w:color w:val="000000"/>
          <w:sz w:val="28"/>
          <w:szCs w:val="28"/>
          <w:rtl w:val="0"/>
        </w:rPr>
        <w:t xml:space="preserve">Exemplary Practice Awards</w:t>
      </w:r>
    </w:p>
    <w:p w:rsidR="00000000" w:rsidDel="00000000" w:rsidP="00000000" w:rsidRDefault="00000000" w:rsidRPr="00000000">
      <w:pPr>
        <w:ind w:left="3600" w:firstLine="720"/>
        <w:contextualSpacing w:val="0"/>
      </w:pPr>
      <w:r w:rsidDel="00000000" w:rsidR="00000000" w:rsidRPr="00000000">
        <w:rPr>
          <w:rFonts w:ascii="Arial" w:cs="Arial" w:eastAsia="Arial" w:hAnsi="Arial"/>
          <w:b w:val="1"/>
          <w:color w:val="000000"/>
          <w:rtl w:val="0"/>
        </w:rPr>
        <w:t xml:space="preserve">Judging Criteria and Scoring Rubric</w:t>
      </w:r>
    </w:p>
    <w:p w:rsidR="00000000" w:rsidDel="00000000" w:rsidP="00000000" w:rsidRDefault="00000000" w:rsidRPr="00000000">
      <w:pPr>
        <w:ind w:left="3600" w:firstLine="720"/>
        <w:contextualSpacing w:val="0"/>
      </w:pPr>
      <w:r w:rsidDel="00000000" w:rsidR="00000000" w:rsidRPr="00000000">
        <w:rPr>
          <w:rFonts w:ascii="Arial" w:cs="Arial" w:eastAsia="Arial" w:hAnsi="Arial"/>
          <w:b w:val="1"/>
          <w:sz w:val="20"/>
          <w:szCs w:val="20"/>
          <w:rtl w:val="0"/>
        </w:rPr>
        <w:t xml:space="preserve">_____Library/Learning Resources Center Services </w:t>
      </w:r>
    </w:p>
    <w:p w:rsidR="00000000" w:rsidDel="00000000" w:rsidP="00000000" w:rsidRDefault="00000000" w:rsidRPr="00000000">
      <w:pPr>
        <w:ind w:left="3600" w:firstLine="720"/>
        <w:contextualSpacing w:val="0"/>
      </w:pPr>
      <w:r w:rsidDel="00000000" w:rsidR="00000000" w:rsidRPr="00000000">
        <w:rPr>
          <w:rFonts w:ascii="Arial" w:cs="Arial" w:eastAsia="Arial" w:hAnsi="Arial"/>
          <w:b w:val="1"/>
          <w:sz w:val="20"/>
          <w:szCs w:val="20"/>
          <w:rtl w:val="0"/>
        </w:rPr>
        <w:t xml:space="preserve">_____Learning Support Services </w:t>
      </w:r>
    </w:p>
    <w:p w:rsidR="00000000" w:rsidDel="00000000" w:rsidP="00000000" w:rsidRDefault="00000000" w:rsidRPr="00000000">
      <w:pPr>
        <w:ind w:firstLine="720"/>
        <w:contextualSpacing w:val="0"/>
        <w:jc w:val="both"/>
      </w:pPr>
      <w:r w:rsidDel="00000000" w:rsidR="00000000" w:rsidRPr="00000000">
        <w:rPr>
          <w:rFonts w:ascii="Arial" w:cs="Arial" w:eastAsia="Arial" w:hAnsi="Arial"/>
          <w:b w:val="1"/>
          <w:color w:val="000000"/>
          <w:sz w:val="20"/>
          <w:szCs w:val="20"/>
          <w:rtl w:val="0"/>
        </w:rPr>
        <w:t xml:space="preserve">PURPOSE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The purpose of this award is to recognize exemplary practices in libraries and learning resources centers as well as learning support service centers within the colleges of the Florida College System. The award also serves to increase awareness of the role that libraries, learning resources centers, and learning support service centers play in student learning &amp; success and in fulfilling the mission of Florida’s colleges.</w:t>
        <w:br w:type="textWrapping"/>
      </w:r>
      <w:r w:rsidDel="00000000" w:rsidR="00000000" w:rsidRPr="00000000">
        <w:rPr>
          <w:rFonts w:ascii="Arial" w:cs="Arial" w:eastAsia="Arial" w:hAnsi="Arial"/>
          <w:b w:val="1"/>
          <w:sz w:val="20"/>
          <w:szCs w:val="20"/>
          <w:rtl w:val="0"/>
        </w:rPr>
        <w:t xml:space="preserve">Nominee’s Name:_____________________________________________________________________</w:t>
      </w:r>
    </w:p>
    <w:p w:rsidR="00000000" w:rsidDel="00000000" w:rsidP="00000000" w:rsidRDefault="00000000" w:rsidRPr="00000000">
      <w:pPr>
        <w:contextualSpacing w:val="0"/>
      </w:pPr>
      <w:r w:rsidDel="00000000" w:rsidR="00000000" w:rsidRPr="00000000">
        <w:rPr>
          <w:rFonts w:ascii="Arial" w:cs="Arial" w:eastAsia="Arial" w:hAnsi="Arial"/>
          <w:b w:val="1"/>
          <w:sz w:val="20"/>
          <w:szCs w:val="20"/>
          <w:rtl w:val="0"/>
        </w:rPr>
        <w:t xml:space="preserve">Nominee's Institution:_________________________________________________________________ </w:t>
      </w:r>
    </w:p>
    <w:p w:rsidR="00000000" w:rsidDel="00000000" w:rsidP="00000000" w:rsidRDefault="00000000" w:rsidRPr="00000000">
      <w:pPr>
        <w:contextualSpacing w:val="0"/>
      </w:pPr>
      <w:r w:rsidDel="00000000" w:rsidR="00000000" w:rsidRPr="00000000">
        <w:rPr>
          <w:rFonts w:ascii="Arial" w:cs="Arial" w:eastAsia="Arial" w:hAnsi="Arial"/>
          <w:b w:val="1"/>
          <w:sz w:val="20"/>
          <w:szCs w:val="20"/>
          <w:rtl w:val="0"/>
        </w:rPr>
        <w:t xml:space="preserve">Title of Nominee's Practice:____________________________________________________________ </w:t>
      </w:r>
    </w:p>
    <w:p w:rsidR="00000000" w:rsidDel="00000000" w:rsidP="00000000" w:rsidRDefault="00000000" w:rsidRPr="00000000">
      <w:pPr>
        <w:contextualSpacing w:val="0"/>
      </w:pPr>
      <w:r w:rsidDel="00000000" w:rsidR="00000000" w:rsidRPr="00000000">
        <w:rPr>
          <w:rFonts w:ascii="Arial" w:cs="Arial" w:eastAsia="Arial" w:hAnsi="Arial"/>
          <w:b w:val="1"/>
          <w:sz w:val="20"/>
          <w:szCs w:val="20"/>
          <w:rtl w:val="0"/>
        </w:rPr>
        <w:t xml:space="preserve">Nominee’s Total Points:_______________________________________________________________ </w:t>
      </w:r>
    </w:p>
    <w:tbl>
      <w:tblPr>
        <w:tblStyle w:val="Table1"/>
        <w:bidiVisual w:val="0"/>
        <w:tblW w:w="111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70"/>
        <w:gridCol w:w="1238"/>
        <w:gridCol w:w="1508"/>
        <w:tblGridChange w:id="0">
          <w:tblGrid>
            <w:gridCol w:w="8370"/>
            <w:gridCol w:w="1238"/>
            <w:gridCol w:w="1508"/>
          </w:tblGrid>
        </w:tblGridChange>
      </w:tblGrid>
      <w:tr>
        <w:trPr>
          <w:trHeight w:val="7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CRITERIA DESCRIPTION</w:t>
            </w:r>
          </w:p>
        </w:tc>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Possible Points</w:t>
            </w:r>
          </w:p>
        </w:tc>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Earned Points</w:t>
            </w:r>
          </w:p>
        </w:tc>
      </w:tr>
      <w:tr>
        <w:trPr>
          <w:trHeight w:val="36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PURPOSE</w:t>
            </w:r>
          </w:p>
        </w:tc>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(50)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58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Degree that practice supports the mission of Florida College System and the Association of Florida Colleges</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34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Degree that practice supports student learning</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20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6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Degree that the practice has a marketing, public relations or advocacy outcome</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20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36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EXEMPLARY CRITERIA</w:t>
            </w:r>
            <w:r w:rsidDel="00000000" w:rsidR="00000000" w:rsidRPr="00000000">
              <w:rPr>
                <w:rtl w:val="0"/>
              </w:rPr>
            </w:r>
          </w:p>
        </w:tc>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(50)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36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Adaptability of idea – Can others easily adopt and adapt the practice?</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70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Illustrative quality of support materials – How well do the support materials demonstrate or explain the practice?</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70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Accountability/assessment of practice – Is there evidence that the practice is measurably making a difference?</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20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36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Innovation or originality of idea</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7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rtl w:val="0"/>
              </w:rPr>
              <w:t xml:space="preserve">Recommendations by student(s), colleague(s) or faculty included that confirms or verifies that practice makes a difference/meets criteria (emails, notes, or formal letters)</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36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Arial" w:cs="Arial" w:eastAsia="Arial" w:hAnsi="Arial"/>
                <w:b w:val="1"/>
                <w:rtl w:val="0"/>
              </w:rPr>
              <w:t xml:space="preserve">TOTAL POINTS</w:t>
            </w:r>
          </w:p>
        </w:tc>
        <w:tc>
          <w:tcPr>
            <w:vAlign w:val="center"/>
          </w:tcPr>
          <w:p w:rsidR="00000000" w:rsidDel="00000000" w:rsidP="00000000" w:rsidRDefault="00000000" w:rsidRPr="00000000">
            <w:pPr>
              <w:spacing w:after="100" w:before="100" w:lineRule="auto"/>
              <w:contextualSpacing w:val="0"/>
              <w:jc w:val="right"/>
            </w:pPr>
            <w:r w:rsidDel="00000000" w:rsidR="00000000" w:rsidRPr="00000000">
              <w:rPr>
                <w:rFonts w:ascii="Arial" w:cs="Arial" w:eastAsia="Arial" w:hAnsi="Arial"/>
                <w:b w:val="1"/>
                <w:rtl w:val="0"/>
              </w:rPr>
              <w:t xml:space="preserve">100</w:t>
            </w:r>
          </w:p>
        </w:tc>
        <w:tc>
          <w:tcPr>
            <w:vAlign w:val="center"/>
          </w:tcPr>
          <w:p w:rsidR="00000000" w:rsidDel="00000000" w:rsidP="00000000" w:rsidRDefault="00000000" w:rsidRPr="00000000">
            <w:pPr>
              <w:spacing w:after="100" w:before="100" w:lineRule="auto"/>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sectPr>
      <w:pgSz w:h="15840" w:w="12240"/>
      <w:pgMar w:bottom="720" w:top="108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2.jpg"/><Relationship Id="rId5" Type="http://schemas.openxmlformats.org/officeDocument/2006/relationships/image" Target="media/image05.png"/><Relationship Id="rId6" Type="http://schemas.openxmlformats.org/officeDocument/2006/relationships/hyperlink" Target="http://www.myafchome.org" TargetMode="External"/><Relationship Id="rId7" Type="http://schemas.openxmlformats.org/officeDocument/2006/relationships/image" Target="media/image04.png"/><Relationship Id="rId8" Type="http://schemas.openxmlformats.org/officeDocument/2006/relationships/hyperlink" Target="mailto:kauberry@irsc.edu" TargetMode="External"/></Relationships>
</file>